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widowControl/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深圳市取得广东省第一、二批工业和信息化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领域电子商务试点资格单位名单</w:t>
      </w:r>
    </w:p>
    <w:bookmarkEnd w:id="0"/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tbl>
      <w:tblPr>
        <w:tblStyle w:val="7"/>
        <w:tblW w:w="8345" w:type="dxa"/>
        <w:jc w:val="center"/>
        <w:tblInd w:w="-14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4"/>
        <w:gridCol w:w="1245"/>
        <w:gridCol w:w="3927"/>
        <w:gridCol w:w="231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0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0"/>
                <w:lang w:eastAsia="zh-CN"/>
              </w:rPr>
              <w:t>批次</w:t>
            </w: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单位名称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sz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lang w:eastAsia="zh-CN"/>
              </w:rPr>
              <w:t>第一批</w:t>
            </w: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深圳市润泰供应链管理有限公司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深圳市盈华讯方通信技术有限公司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深圳市彬讯科技有限公司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深圳市思贝克工业发展有限公司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优购科技有限公司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6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深圳保宏电子商务综合服务股份有限公司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7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深圳伊西威威网络科技股份有限公司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8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速必达希杰物流有限公司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9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深圳市朗华供应链服务有限公司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10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深圳市元创时代科技有限公司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11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深圳前海三态现代物流有限公司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12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深圳市前海转运四方现代物流有限公司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13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深圳淘绿信息科技股份有限公司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14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深圳市搜了网络科技股份有限公司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15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深圳报业集团电子商务有限公司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16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深圳市傲基电子商务股份有限公司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17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顺丰速运有限公司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18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深圳市苏宁云商销售有限公司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19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深圳市迪蒙网络科技有限公司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20</w:t>
            </w: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0"/>
              </w:rPr>
            </w:pPr>
            <w:r>
              <w:rPr>
                <w:color w:val="000000"/>
                <w:kern w:val="0"/>
                <w:sz w:val="20"/>
              </w:rPr>
              <w:t>广东百事泰电子商务股份有限公司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21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left"/>
              <w:rPr>
                <w:rFonts w:hint="eastAsia"/>
                <w:color w:val="000000"/>
                <w:sz w:val="20"/>
                <w:lang w:eastAsia="zh-CN"/>
              </w:rPr>
            </w:pPr>
          </w:p>
          <w:p>
            <w:pPr>
              <w:jc w:val="center"/>
              <w:rPr>
                <w:rFonts w:hint="eastAsia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lang w:eastAsia="zh-CN"/>
              </w:rPr>
              <w:t>第二批</w:t>
            </w: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华南国际工业原料城（深圳）有限公司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区域类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22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深圳市环球易购电子商务有限公司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23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深圳市大疆创新科技有限公司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24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深圳华强电子交易网络有限公司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25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深圳华强聚丰电子科技有限公司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26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深圳市百能信息技术有限公司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27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深圳全棉时代科技有限公司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28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深圳市通拓科技有限公司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29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深圳市有棵树科技股份有限公司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30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深圳市全药网药业有限公司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31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深圳市信利康供应链管理有限公司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32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深圳市壹办公科技股份有限公司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33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深圳越海全球供应链有限公司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34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深圳市海格物流股份有限公司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35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深圳市德邦物流有限公司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36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深圳市有信达供应链集团股份有限公司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37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深圳智汇创想科技有限责任公司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38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深圳市星商电子商务有限公司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39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深圳市华运国际物流有限公司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40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深圳金证引擎科技有限公司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41</w:t>
            </w:r>
          </w:p>
        </w:tc>
        <w:tc>
          <w:tcPr>
            <w:tcW w:w="12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lang w:val="en-US" w:eastAsia="zh-CN"/>
              </w:rPr>
              <w:t>深圳市承和润文化传播股份有限公司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服务商类</w:t>
            </w:r>
          </w:p>
        </w:tc>
      </w:tr>
    </w:tbl>
    <w:p>
      <w:pPr>
        <w:spacing w:line="240" w:lineRule="exact"/>
        <w:rPr>
          <w:rFonts w:eastAsia="黑体"/>
          <w:sz w:val="32"/>
          <w:szCs w:val="32"/>
        </w:rPr>
      </w:pPr>
    </w:p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2098" w:right="1474" w:bottom="1440" w:left="1588" w:header="851" w:footer="992" w:gutter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B2CDC"/>
    <w:rsid w:val="2ADB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character" w:styleId="6">
    <w:name w:val="page number"/>
    <w:basedOn w:val="5"/>
    <w:qFormat/>
    <w:uiPriority w:val="0"/>
  </w:style>
  <w:style w:type="character" w:customStyle="1" w:styleId="8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0">
    <w:name w:val="文件正文"/>
    <w:basedOn w:val="4"/>
    <w:qFormat/>
    <w:uiPriority w:val="2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2020-05-08T02:26:00Z</dcterms:created>
  <dc:creator>叶迅锋</dc:creator>
  <cp:lastModifiedBy>叶迅锋</cp:lastModifiedBy>
  <dcterms:modified xsi:type="dcterms:W3CDTF">2020-05-08T02:38:31Z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