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深圳市大鹏新区企业开拓国际市场扶持申报指南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pStyle w:val="11"/>
        <w:ind w:left="1060" w:firstLine="0" w:firstLineChars="0"/>
        <w:rPr>
          <w:rFonts w:ascii="仿宋_GB2312" w:eastAsia="仿宋_GB2312"/>
          <w:color w:val="000000" w:themeColor="text1"/>
          <w:sz w:val="32"/>
          <w:szCs w:val="32"/>
        </w:rPr>
      </w:pPr>
      <w:r>
        <w:rPr>
          <w:rFonts w:hint="eastAsia" w:ascii="仿宋_GB2312" w:eastAsia="仿宋_GB2312"/>
          <w:color w:val="000000" w:themeColor="text1"/>
          <w:sz w:val="32"/>
          <w:szCs w:val="32"/>
        </w:rPr>
        <w:t>生物企业开拓国际市场扶持。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pStyle w:val="11"/>
        <w:ind w:firstLine="64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第十二条  </w:t>
      </w:r>
      <w:r>
        <w:rPr>
          <w:rFonts w:hint="eastAsia" w:ascii="仿宋_GB2312" w:hAnsi="宋体" w:eastAsia="仿宋_GB2312" w:cs="仿宋_GB2312"/>
          <w:color w:val="000000" w:themeColor="text1"/>
          <w:sz w:val="32"/>
          <w:szCs w:val="32"/>
        </w:rPr>
        <w:t>对通过美国食品药品监督局（FDA）、欧盟cGMP（动态药品生产管理规范）认证、CE（欧洲统一）认证、日本PMDA（药品医疗器械局）认证、世界卫生组织（WHO）等国际权威认证的药品和医疗器械，每个产品给予不超过实际认证费用50%的扶持，最高不超过10万元。单个企业获得本项扶持累计最高不超过100万元。</w:t>
      </w:r>
    </w:p>
    <w:p>
      <w:pPr>
        <w:spacing w:line="560" w:lineRule="exact"/>
        <w:ind w:firstLine="640" w:firstLineChars="200"/>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576" w:firstLineChars="18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 xml:space="preserve"> (二)有严格的财务管理制度和健全的会计核算体系；</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（三）守法诚信经营，依法纳税，依法依规报送相关统计</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数据；</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（四）诚实守信，申请前两年无申报资金弄虚作假、恶意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（五）药品或医疗器械产品已取得美国</w:t>
      </w:r>
      <w:bookmarkStart w:id="0" w:name="_Hlk510124216"/>
      <w:r>
        <w:rPr>
          <w:rFonts w:hint="eastAsia" w:ascii="仿宋_GB2312" w:hAnsi="Verdana" w:eastAsia="仿宋_GB2312" w:cs="宋体"/>
          <w:color w:val="000000" w:themeColor="text1"/>
          <w:kern w:val="0"/>
          <w:sz w:val="32"/>
          <w:szCs w:val="32"/>
        </w:rPr>
        <w:t>FDA认证、</w:t>
      </w:r>
      <w:r>
        <w:rPr>
          <w:rFonts w:hint="eastAsia" w:ascii="仿宋_GB2312" w:hAnsi="宋体" w:eastAsia="仿宋_GB2312" w:cs="仿宋_GB2312"/>
          <w:color w:val="000000" w:themeColor="text1"/>
          <w:sz w:val="32"/>
          <w:szCs w:val="32"/>
        </w:rPr>
        <w:t>cGMP、</w:t>
      </w:r>
      <w:r>
        <w:rPr>
          <w:rFonts w:ascii="仿宋_GB2312" w:hAnsi="仿宋" w:eastAsia="仿宋_GB2312"/>
          <w:color w:val="000000" w:themeColor="text1"/>
          <w:sz w:val="32"/>
          <w:szCs w:val="32"/>
        </w:rPr>
        <w:t>CE认证</w:t>
      </w:r>
      <w:r>
        <w:rPr>
          <w:rFonts w:hint="eastAsia" w:ascii="仿宋_GB2312" w:hAnsi="仿宋" w:eastAsia="仿宋_GB2312"/>
          <w:color w:val="000000" w:themeColor="text1"/>
          <w:sz w:val="32"/>
          <w:szCs w:val="32"/>
        </w:rPr>
        <w:t>、PMDA认证、WHO等国际权威认证</w:t>
      </w:r>
      <w:bookmarkEnd w:id="0"/>
      <w:r>
        <w:rPr>
          <w:rFonts w:hint="eastAsia" w:ascii="仿宋_GB2312" w:hAnsi="Verdana" w:eastAsia="仿宋_GB2312" w:cs="宋体"/>
          <w:color w:val="000000" w:themeColor="text1"/>
          <w:kern w:val="0"/>
          <w:sz w:val="32"/>
          <w:szCs w:val="32"/>
        </w:rPr>
        <w:t>的生物企业；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bookmarkStart w:id="1" w:name="_Hlk509321212"/>
      <w:r>
        <w:rPr>
          <w:rFonts w:hint="eastAsia" w:ascii="仿宋_GB2312" w:eastAsia="仿宋_GB2312"/>
          <w:color w:val="000000" w:themeColor="text1"/>
          <w:kern w:val="0"/>
          <w:sz w:val="32"/>
          <w:szCs w:val="32"/>
        </w:rPr>
        <w:t>申请书原件;</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1"/>
        <w:widowControl/>
        <w:numPr>
          <w:ilvl w:val="0"/>
          <w:numId w:val="3"/>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hAnsi="宋体" w:eastAsia="仿宋_GB2312" w:cs="仿宋_GB2312"/>
          <w:color w:val="000000" w:themeColor="text1"/>
          <w:sz w:val="32"/>
          <w:szCs w:val="32"/>
        </w:rPr>
        <w:t>产品通过FDA、cGMP、</w:t>
      </w:r>
      <w:r>
        <w:rPr>
          <w:rFonts w:ascii="仿宋_GB2312" w:hAnsi="宋体" w:eastAsia="仿宋_GB2312" w:cs="仿宋_GB2312"/>
          <w:color w:val="000000" w:themeColor="text1"/>
          <w:sz w:val="32"/>
          <w:szCs w:val="32"/>
        </w:rPr>
        <w:t>CE</w:t>
      </w:r>
      <w:r>
        <w:rPr>
          <w:rFonts w:hint="eastAsia" w:ascii="仿宋_GB2312" w:hAnsi="宋体" w:eastAsia="仿宋_GB2312" w:cs="仿宋_GB2312"/>
          <w:color w:val="000000" w:themeColor="text1"/>
          <w:sz w:val="32"/>
          <w:szCs w:val="32"/>
        </w:rPr>
        <w:t>、PMDA、WHO等</w:t>
      </w:r>
      <w:r>
        <w:rPr>
          <w:rFonts w:ascii="仿宋_GB2312" w:hAnsi="宋体" w:eastAsia="仿宋_GB2312" w:cs="仿宋_GB2312"/>
          <w:color w:val="000000" w:themeColor="text1"/>
          <w:sz w:val="32"/>
          <w:szCs w:val="32"/>
        </w:rPr>
        <w:t>国际</w:t>
      </w:r>
      <w:r>
        <w:rPr>
          <w:rFonts w:hint="eastAsia" w:ascii="仿宋_GB2312" w:hAnsi="宋体" w:eastAsia="仿宋_GB2312" w:cs="仿宋_GB2312"/>
          <w:color w:val="000000" w:themeColor="text1"/>
          <w:sz w:val="32"/>
          <w:szCs w:val="32"/>
        </w:rPr>
        <w:t>权威</w:t>
      </w:r>
      <w:r>
        <w:rPr>
          <w:rFonts w:hint="eastAsia" w:ascii="仿宋_GB2312" w:hAnsi="宋体" w:eastAsia="仿宋_GB2312" w:cs="Arial"/>
          <w:color w:val="000000" w:themeColor="text1"/>
          <w:kern w:val="0"/>
          <w:sz w:val="32"/>
          <w:szCs w:val="32"/>
        </w:rPr>
        <w:t>认证证书复印件（提供验证途径）；</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产品实际</w:t>
      </w:r>
      <w:r>
        <w:rPr>
          <w:rFonts w:hint="eastAsia" w:ascii="仿宋_GB2312" w:hAnsi="宋体" w:eastAsia="仿宋_GB2312" w:cs="仿宋_GB2312"/>
          <w:color w:val="000000" w:themeColor="text1"/>
          <w:sz w:val="32"/>
          <w:szCs w:val="32"/>
        </w:rPr>
        <w:t>认证</w:t>
      </w:r>
      <w:r>
        <w:rPr>
          <w:rFonts w:hint="eastAsia" w:ascii="仿宋_GB2312" w:eastAsia="仿宋_GB2312"/>
          <w:color w:val="000000" w:themeColor="text1"/>
          <w:sz w:val="32"/>
          <w:szCs w:val="32"/>
        </w:rPr>
        <w:t>支出明细表格</w:t>
      </w:r>
      <w:r>
        <w:rPr>
          <w:rFonts w:hint="eastAsia" w:ascii="仿宋_GB2312" w:hAnsi="宋体" w:eastAsia="仿宋_GB2312" w:cs="Arial"/>
          <w:color w:val="000000" w:themeColor="text1"/>
          <w:kern w:val="0"/>
          <w:sz w:val="32"/>
          <w:szCs w:val="32"/>
        </w:rPr>
        <w:t>及其证明材料；</w:t>
      </w:r>
    </w:p>
    <w:p>
      <w:pPr>
        <w:pStyle w:val="11"/>
        <w:widowControl/>
        <w:numPr>
          <w:ilvl w:val="0"/>
          <w:numId w:val="3"/>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bookmarkEnd w:id="1"/>
    <w:p>
      <w:pPr>
        <w:pStyle w:val="11"/>
        <w:widowControl/>
        <w:numPr>
          <w:ilvl w:val="0"/>
          <w:numId w:val="3"/>
        </w:numPr>
        <w:spacing w:before="75" w:after="75" w:line="540" w:lineRule="exact"/>
        <w:ind w:left="0" w:firstLine="64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对申请材料进行初审——组织评审专家和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w:t>
      </w:r>
      <w:r>
        <w:rPr>
          <w:rFonts w:hint="eastAsia" w:ascii="仿宋_GB2312" w:hAnsi="Verdana" w:eastAsia="仿宋_GB2312" w:cs="宋体"/>
          <w:color w:val="000000" w:themeColor="text1"/>
          <w:kern w:val="0"/>
          <w:sz w:val="32"/>
          <w:szCs w:val="32"/>
        </w:rPr>
        <w:t>大鹏新区</w:t>
      </w:r>
      <w:bookmarkStart w:id="3" w:name="_GoBack"/>
      <w:bookmarkEnd w:id="3"/>
      <w:r>
        <w:rPr>
          <w:rFonts w:hint="eastAsia" w:ascii="仿宋_GB2312" w:hAnsi="宋体" w:eastAsia="仿宋_GB2312"/>
          <w:color w:val="000000" w:themeColor="text1"/>
          <w:sz w:val="32"/>
          <w:szCs w:val="32"/>
        </w:rPr>
        <w:t>科技创新和经济服务局按照项目合同书对项目进行跟踪管理。</w:t>
      </w:r>
    </w:p>
    <w:p>
      <w:pPr>
        <w:pStyle w:val="11"/>
        <w:numPr>
          <w:ilvl w:val="0"/>
          <w:numId w:val="1"/>
        </w:numPr>
        <w:ind w:firstLineChars="0"/>
        <w:rPr>
          <w:rFonts w:ascii="黑体" w:hAnsi="宋体" w:eastAsia="黑体"/>
          <w:color w:val="000000" w:themeColor="text1"/>
          <w:sz w:val="32"/>
          <w:szCs w:val="32"/>
        </w:rPr>
      </w:pPr>
      <w:bookmarkStart w:id="2" w:name="_Toc508645043"/>
      <w:r>
        <w:rPr>
          <w:rFonts w:hint="eastAsia" w:ascii="黑体" w:hAnsi="宋体" w:eastAsia="黑体"/>
          <w:color w:val="000000" w:themeColor="text1"/>
          <w:sz w:val="32"/>
          <w:szCs w:val="32"/>
        </w:rPr>
        <w:t>管理监督</w:t>
      </w:r>
      <w:bookmarkEnd w:id="2"/>
    </w:p>
    <w:p>
      <w:pPr>
        <w:pStyle w:val="11"/>
        <w:widowControl/>
        <w:numPr>
          <w:ilvl w:val="0"/>
          <w:numId w:val="4"/>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4"/>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widowControl/>
        <w:shd w:val="clear" w:color="auto" w:fill="FFFFFF"/>
        <w:spacing w:line="560" w:lineRule="exact"/>
        <w:jc w:val="left"/>
        <w:rPr>
          <w:rFonts w:ascii="仿宋_GB2312" w:hAnsi="宋体" w:eastAsia="仿宋_GB2312" w:cs="Arial"/>
          <w:color w:val="000000" w:themeColor="text1"/>
          <w:kern w:val="0"/>
          <w:sz w:val="32"/>
          <w:szCs w:val="32"/>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widowControl/>
        <w:shd w:val="clear" w:color="auto" w:fill="FFFFFF"/>
        <w:spacing w:line="560" w:lineRule="exact"/>
        <w:jc w:val="left"/>
        <w:rPr>
          <w:rFonts w:ascii="仿宋_GB2312" w:hAnsi="宋体" w:eastAsia="仿宋_GB2312" w:cs="Arial"/>
          <w:color w:val="000000" w:themeColor="text1"/>
          <w:kern w:val="0"/>
          <w:sz w:val="32"/>
          <w:szCs w:val="32"/>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55D86"/>
    <w:multiLevelType w:val="multilevel"/>
    <w:tmpl w:val="4C355D86"/>
    <w:lvl w:ilvl="0" w:tentative="0">
      <w:start w:val="1"/>
      <w:numFmt w:val="japaneseCounting"/>
      <w:lvlText w:val="（%1）"/>
      <w:lvlJc w:val="left"/>
      <w:pPr>
        <w:ind w:left="1554" w:hanging="420"/>
      </w:pPr>
      <w:rPr>
        <w:rFonts w:hint="default"/>
      </w:rPr>
    </w:lvl>
    <w:lvl w:ilvl="1" w:tentative="0">
      <w:start w:val="1"/>
      <w:numFmt w:val="lowerLetter"/>
      <w:lvlText w:val="%2)"/>
      <w:lvlJc w:val="left"/>
      <w:pPr>
        <w:ind w:left="131" w:hanging="420"/>
      </w:pPr>
    </w:lvl>
    <w:lvl w:ilvl="2" w:tentative="0">
      <w:start w:val="1"/>
      <w:numFmt w:val="lowerRoman"/>
      <w:lvlText w:val="%3."/>
      <w:lvlJc w:val="right"/>
      <w:pPr>
        <w:ind w:left="551" w:hanging="420"/>
      </w:pPr>
    </w:lvl>
    <w:lvl w:ilvl="3" w:tentative="0">
      <w:start w:val="1"/>
      <w:numFmt w:val="decimal"/>
      <w:lvlText w:val="%4."/>
      <w:lvlJc w:val="left"/>
      <w:pPr>
        <w:ind w:left="971" w:hanging="420"/>
      </w:pPr>
    </w:lvl>
    <w:lvl w:ilvl="4" w:tentative="0">
      <w:start w:val="1"/>
      <w:numFmt w:val="lowerLetter"/>
      <w:lvlText w:val="%5)"/>
      <w:lvlJc w:val="left"/>
      <w:pPr>
        <w:ind w:left="1391" w:hanging="420"/>
      </w:pPr>
    </w:lvl>
    <w:lvl w:ilvl="5" w:tentative="0">
      <w:start w:val="1"/>
      <w:numFmt w:val="lowerRoman"/>
      <w:lvlText w:val="%6."/>
      <w:lvlJc w:val="right"/>
      <w:pPr>
        <w:ind w:left="1811" w:hanging="420"/>
      </w:pPr>
    </w:lvl>
    <w:lvl w:ilvl="6" w:tentative="0">
      <w:start w:val="1"/>
      <w:numFmt w:val="decimal"/>
      <w:lvlText w:val="%7."/>
      <w:lvlJc w:val="left"/>
      <w:pPr>
        <w:ind w:left="2231" w:hanging="420"/>
      </w:pPr>
    </w:lvl>
    <w:lvl w:ilvl="7" w:tentative="0">
      <w:start w:val="1"/>
      <w:numFmt w:val="lowerLetter"/>
      <w:lvlText w:val="%8)"/>
      <w:lvlJc w:val="left"/>
      <w:pPr>
        <w:ind w:left="2651" w:hanging="420"/>
      </w:pPr>
    </w:lvl>
    <w:lvl w:ilvl="8" w:tentative="0">
      <w:start w:val="1"/>
      <w:numFmt w:val="lowerRoman"/>
      <w:lvlText w:val="%9."/>
      <w:lvlJc w:val="right"/>
      <w:pPr>
        <w:ind w:left="3071" w:hanging="420"/>
      </w:pPr>
    </w:lvl>
  </w:abstractNum>
  <w:abstractNum w:abstractNumId="2">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21A5E"/>
    <w:rsid w:val="00025BCC"/>
    <w:rsid w:val="00030940"/>
    <w:rsid w:val="00037773"/>
    <w:rsid w:val="000378B0"/>
    <w:rsid w:val="00051AB4"/>
    <w:rsid w:val="000668CF"/>
    <w:rsid w:val="00071D4E"/>
    <w:rsid w:val="00071EE8"/>
    <w:rsid w:val="00094868"/>
    <w:rsid w:val="000A1AEE"/>
    <w:rsid w:val="000B5270"/>
    <w:rsid w:val="000D4017"/>
    <w:rsid w:val="000D5195"/>
    <w:rsid w:val="000F7BC5"/>
    <w:rsid w:val="00103BE8"/>
    <w:rsid w:val="00113BAC"/>
    <w:rsid w:val="001242D4"/>
    <w:rsid w:val="00124E28"/>
    <w:rsid w:val="0012632E"/>
    <w:rsid w:val="001279F4"/>
    <w:rsid w:val="00137218"/>
    <w:rsid w:val="001373B4"/>
    <w:rsid w:val="0014667B"/>
    <w:rsid w:val="00151BCF"/>
    <w:rsid w:val="00157318"/>
    <w:rsid w:val="0017323B"/>
    <w:rsid w:val="001757BC"/>
    <w:rsid w:val="00176512"/>
    <w:rsid w:val="001768EA"/>
    <w:rsid w:val="0017695D"/>
    <w:rsid w:val="00182F3D"/>
    <w:rsid w:val="00186724"/>
    <w:rsid w:val="00187569"/>
    <w:rsid w:val="00187ABF"/>
    <w:rsid w:val="00192EDD"/>
    <w:rsid w:val="00193D69"/>
    <w:rsid w:val="001944C5"/>
    <w:rsid w:val="001A19CC"/>
    <w:rsid w:val="001A492B"/>
    <w:rsid w:val="001A632B"/>
    <w:rsid w:val="001B7C93"/>
    <w:rsid w:val="001E3E13"/>
    <w:rsid w:val="001E3FE9"/>
    <w:rsid w:val="001E5A9C"/>
    <w:rsid w:val="001F72C2"/>
    <w:rsid w:val="00200DE4"/>
    <w:rsid w:val="00203EB2"/>
    <w:rsid w:val="00210BE8"/>
    <w:rsid w:val="00220FB2"/>
    <w:rsid w:val="00234DF3"/>
    <w:rsid w:val="00235305"/>
    <w:rsid w:val="0024214C"/>
    <w:rsid w:val="002438C2"/>
    <w:rsid w:val="00244B02"/>
    <w:rsid w:val="00246451"/>
    <w:rsid w:val="00267D97"/>
    <w:rsid w:val="00273755"/>
    <w:rsid w:val="00276A1B"/>
    <w:rsid w:val="00281CEA"/>
    <w:rsid w:val="00290CC7"/>
    <w:rsid w:val="0029153C"/>
    <w:rsid w:val="00293912"/>
    <w:rsid w:val="002A2E98"/>
    <w:rsid w:val="002A7F8B"/>
    <w:rsid w:val="002B1386"/>
    <w:rsid w:val="002B58A5"/>
    <w:rsid w:val="002C6947"/>
    <w:rsid w:val="002C6FC9"/>
    <w:rsid w:val="002C74B5"/>
    <w:rsid w:val="002C7C5D"/>
    <w:rsid w:val="002D2927"/>
    <w:rsid w:val="002D2ED3"/>
    <w:rsid w:val="002D515C"/>
    <w:rsid w:val="002D580D"/>
    <w:rsid w:val="002E48D9"/>
    <w:rsid w:val="002E700B"/>
    <w:rsid w:val="002F7F4C"/>
    <w:rsid w:val="00301075"/>
    <w:rsid w:val="00301454"/>
    <w:rsid w:val="00304552"/>
    <w:rsid w:val="00305031"/>
    <w:rsid w:val="00317915"/>
    <w:rsid w:val="00317EAC"/>
    <w:rsid w:val="0032179F"/>
    <w:rsid w:val="00346C0E"/>
    <w:rsid w:val="00350DC3"/>
    <w:rsid w:val="00353F6E"/>
    <w:rsid w:val="00362788"/>
    <w:rsid w:val="003655EE"/>
    <w:rsid w:val="00380BB5"/>
    <w:rsid w:val="003863EE"/>
    <w:rsid w:val="00386FB0"/>
    <w:rsid w:val="003A3F4B"/>
    <w:rsid w:val="003A5828"/>
    <w:rsid w:val="003A6578"/>
    <w:rsid w:val="003A73AF"/>
    <w:rsid w:val="003B1F54"/>
    <w:rsid w:val="003B2AF0"/>
    <w:rsid w:val="003B4AD6"/>
    <w:rsid w:val="003B5168"/>
    <w:rsid w:val="003B6321"/>
    <w:rsid w:val="003C3063"/>
    <w:rsid w:val="003C50FB"/>
    <w:rsid w:val="003C63A3"/>
    <w:rsid w:val="003D16AB"/>
    <w:rsid w:val="003D526E"/>
    <w:rsid w:val="003E1B13"/>
    <w:rsid w:val="003F2812"/>
    <w:rsid w:val="00401317"/>
    <w:rsid w:val="0040157E"/>
    <w:rsid w:val="0040520A"/>
    <w:rsid w:val="00407B28"/>
    <w:rsid w:val="00432531"/>
    <w:rsid w:val="004457D2"/>
    <w:rsid w:val="00451F3D"/>
    <w:rsid w:val="00456276"/>
    <w:rsid w:val="00460056"/>
    <w:rsid w:val="00467E44"/>
    <w:rsid w:val="0047041C"/>
    <w:rsid w:val="0047242F"/>
    <w:rsid w:val="00472767"/>
    <w:rsid w:val="00482E79"/>
    <w:rsid w:val="00491DC8"/>
    <w:rsid w:val="004A34A5"/>
    <w:rsid w:val="004A3D49"/>
    <w:rsid w:val="004B78A3"/>
    <w:rsid w:val="004B7CE5"/>
    <w:rsid w:val="004C21E1"/>
    <w:rsid w:val="004C23D0"/>
    <w:rsid w:val="004C37DD"/>
    <w:rsid w:val="004C5B86"/>
    <w:rsid w:val="004C6804"/>
    <w:rsid w:val="004C6980"/>
    <w:rsid w:val="004D15F5"/>
    <w:rsid w:val="004E5871"/>
    <w:rsid w:val="004F250E"/>
    <w:rsid w:val="004F41B4"/>
    <w:rsid w:val="00503446"/>
    <w:rsid w:val="00515DF3"/>
    <w:rsid w:val="0051631B"/>
    <w:rsid w:val="00524519"/>
    <w:rsid w:val="0052477D"/>
    <w:rsid w:val="00525A1F"/>
    <w:rsid w:val="00531A12"/>
    <w:rsid w:val="00534053"/>
    <w:rsid w:val="00536F18"/>
    <w:rsid w:val="00540195"/>
    <w:rsid w:val="0054035C"/>
    <w:rsid w:val="005439A2"/>
    <w:rsid w:val="005510A6"/>
    <w:rsid w:val="00552622"/>
    <w:rsid w:val="00552B5D"/>
    <w:rsid w:val="00555947"/>
    <w:rsid w:val="0056266E"/>
    <w:rsid w:val="00567675"/>
    <w:rsid w:val="005728FD"/>
    <w:rsid w:val="00590979"/>
    <w:rsid w:val="00591394"/>
    <w:rsid w:val="005946AE"/>
    <w:rsid w:val="0059672F"/>
    <w:rsid w:val="005B6E13"/>
    <w:rsid w:val="005C03B2"/>
    <w:rsid w:val="005C0D52"/>
    <w:rsid w:val="005C1924"/>
    <w:rsid w:val="005C6F39"/>
    <w:rsid w:val="005E7D98"/>
    <w:rsid w:val="005F33C6"/>
    <w:rsid w:val="005F3D42"/>
    <w:rsid w:val="005F76AB"/>
    <w:rsid w:val="00604D9B"/>
    <w:rsid w:val="0061494D"/>
    <w:rsid w:val="00620275"/>
    <w:rsid w:val="00620A05"/>
    <w:rsid w:val="00623B86"/>
    <w:rsid w:val="0063705F"/>
    <w:rsid w:val="00645C0D"/>
    <w:rsid w:val="006520A4"/>
    <w:rsid w:val="00654DEC"/>
    <w:rsid w:val="006573BB"/>
    <w:rsid w:val="0066175D"/>
    <w:rsid w:val="00665CE1"/>
    <w:rsid w:val="00673C36"/>
    <w:rsid w:val="00675046"/>
    <w:rsid w:val="00680BED"/>
    <w:rsid w:val="00692B9E"/>
    <w:rsid w:val="0069498F"/>
    <w:rsid w:val="006A1FF4"/>
    <w:rsid w:val="006A5FE1"/>
    <w:rsid w:val="006B29D9"/>
    <w:rsid w:val="006C50A0"/>
    <w:rsid w:val="006C6079"/>
    <w:rsid w:val="006C6999"/>
    <w:rsid w:val="006C734A"/>
    <w:rsid w:val="006D7E77"/>
    <w:rsid w:val="006E01D4"/>
    <w:rsid w:val="006E0B47"/>
    <w:rsid w:val="006E0FBB"/>
    <w:rsid w:val="006F0462"/>
    <w:rsid w:val="006F1943"/>
    <w:rsid w:val="007070D6"/>
    <w:rsid w:val="007112F9"/>
    <w:rsid w:val="007124DF"/>
    <w:rsid w:val="0071368F"/>
    <w:rsid w:val="00714395"/>
    <w:rsid w:val="007146F5"/>
    <w:rsid w:val="00716311"/>
    <w:rsid w:val="00717B8A"/>
    <w:rsid w:val="0072350E"/>
    <w:rsid w:val="00727DA1"/>
    <w:rsid w:val="0073227B"/>
    <w:rsid w:val="007528EE"/>
    <w:rsid w:val="00753059"/>
    <w:rsid w:val="00757792"/>
    <w:rsid w:val="00772532"/>
    <w:rsid w:val="0077622B"/>
    <w:rsid w:val="00780582"/>
    <w:rsid w:val="007807AE"/>
    <w:rsid w:val="007809B6"/>
    <w:rsid w:val="00791E43"/>
    <w:rsid w:val="007949EA"/>
    <w:rsid w:val="007B17DB"/>
    <w:rsid w:val="007B47BE"/>
    <w:rsid w:val="007B5717"/>
    <w:rsid w:val="007C62FB"/>
    <w:rsid w:val="007C7A74"/>
    <w:rsid w:val="007D3687"/>
    <w:rsid w:val="007D4F94"/>
    <w:rsid w:val="007D7940"/>
    <w:rsid w:val="007D7E0F"/>
    <w:rsid w:val="007E0FE2"/>
    <w:rsid w:val="007E52C2"/>
    <w:rsid w:val="007F4B01"/>
    <w:rsid w:val="007F564B"/>
    <w:rsid w:val="00801BFA"/>
    <w:rsid w:val="0080258B"/>
    <w:rsid w:val="0081570E"/>
    <w:rsid w:val="008157AA"/>
    <w:rsid w:val="008166B0"/>
    <w:rsid w:val="00821836"/>
    <w:rsid w:val="00832A10"/>
    <w:rsid w:val="00832CAF"/>
    <w:rsid w:val="008368B8"/>
    <w:rsid w:val="00843823"/>
    <w:rsid w:val="008438F7"/>
    <w:rsid w:val="00844AF5"/>
    <w:rsid w:val="00851078"/>
    <w:rsid w:val="00887B60"/>
    <w:rsid w:val="00893C9C"/>
    <w:rsid w:val="008A3887"/>
    <w:rsid w:val="008B4065"/>
    <w:rsid w:val="008B625B"/>
    <w:rsid w:val="008C1842"/>
    <w:rsid w:val="008C789E"/>
    <w:rsid w:val="008D0937"/>
    <w:rsid w:val="008D2B97"/>
    <w:rsid w:val="008E1AA5"/>
    <w:rsid w:val="008E7BB1"/>
    <w:rsid w:val="008F20B1"/>
    <w:rsid w:val="00907E81"/>
    <w:rsid w:val="0091044C"/>
    <w:rsid w:val="00914D49"/>
    <w:rsid w:val="00914EF1"/>
    <w:rsid w:val="00926412"/>
    <w:rsid w:val="009334BC"/>
    <w:rsid w:val="0094172B"/>
    <w:rsid w:val="00945260"/>
    <w:rsid w:val="00945A7E"/>
    <w:rsid w:val="009473B1"/>
    <w:rsid w:val="00947D70"/>
    <w:rsid w:val="00952A78"/>
    <w:rsid w:val="00957D12"/>
    <w:rsid w:val="009647BD"/>
    <w:rsid w:val="0097033E"/>
    <w:rsid w:val="00973896"/>
    <w:rsid w:val="009738D5"/>
    <w:rsid w:val="00991A64"/>
    <w:rsid w:val="00991E94"/>
    <w:rsid w:val="00995FAC"/>
    <w:rsid w:val="009A0099"/>
    <w:rsid w:val="009A45BC"/>
    <w:rsid w:val="009B0FBC"/>
    <w:rsid w:val="009B26DA"/>
    <w:rsid w:val="009B3DC4"/>
    <w:rsid w:val="009C4746"/>
    <w:rsid w:val="009D5CFD"/>
    <w:rsid w:val="009E34D7"/>
    <w:rsid w:val="009E6C59"/>
    <w:rsid w:val="009F14E9"/>
    <w:rsid w:val="009F6335"/>
    <w:rsid w:val="009F722B"/>
    <w:rsid w:val="00A019CB"/>
    <w:rsid w:val="00A05C29"/>
    <w:rsid w:val="00A06058"/>
    <w:rsid w:val="00A17CEF"/>
    <w:rsid w:val="00A2092C"/>
    <w:rsid w:val="00A225A7"/>
    <w:rsid w:val="00A24D05"/>
    <w:rsid w:val="00A2791D"/>
    <w:rsid w:val="00A34177"/>
    <w:rsid w:val="00A36C32"/>
    <w:rsid w:val="00A42A76"/>
    <w:rsid w:val="00A43A4D"/>
    <w:rsid w:val="00A44F6D"/>
    <w:rsid w:val="00A462B4"/>
    <w:rsid w:val="00A60B81"/>
    <w:rsid w:val="00A63A6E"/>
    <w:rsid w:val="00A65BD7"/>
    <w:rsid w:val="00A71501"/>
    <w:rsid w:val="00A87B55"/>
    <w:rsid w:val="00A95D50"/>
    <w:rsid w:val="00A9613F"/>
    <w:rsid w:val="00A971A0"/>
    <w:rsid w:val="00AA0097"/>
    <w:rsid w:val="00AB047B"/>
    <w:rsid w:val="00AB5B55"/>
    <w:rsid w:val="00AE05F0"/>
    <w:rsid w:val="00B2491E"/>
    <w:rsid w:val="00B432E6"/>
    <w:rsid w:val="00B45BD2"/>
    <w:rsid w:val="00B47BAF"/>
    <w:rsid w:val="00B531E8"/>
    <w:rsid w:val="00B5629C"/>
    <w:rsid w:val="00B571AB"/>
    <w:rsid w:val="00B65C89"/>
    <w:rsid w:val="00B7722F"/>
    <w:rsid w:val="00BA7DB7"/>
    <w:rsid w:val="00BC1092"/>
    <w:rsid w:val="00BC4920"/>
    <w:rsid w:val="00BC761F"/>
    <w:rsid w:val="00BD3D37"/>
    <w:rsid w:val="00BE0D62"/>
    <w:rsid w:val="00BE1EE2"/>
    <w:rsid w:val="00BE3CFF"/>
    <w:rsid w:val="00C07BDA"/>
    <w:rsid w:val="00C10A1A"/>
    <w:rsid w:val="00C13E9C"/>
    <w:rsid w:val="00C23F7D"/>
    <w:rsid w:val="00C27C28"/>
    <w:rsid w:val="00C4391F"/>
    <w:rsid w:val="00C44B09"/>
    <w:rsid w:val="00C554BE"/>
    <w:rsid w:val="00C60CDA"/>
    <w:rsid w:val="00C67F42"/>
    <w:rsid w:val="00C747B5"/>
    <w:rsid w:val="00C80AAB"/>
    <w:rsid w:val="00C80AE6"/>
    <w:rsid w:val="00C812C5"/>
    <w:rsid w:val="00C90673"/>
    <w:rsid w:val="00C93147"/>
    <w:rsid w:val="00C94B07"/>
    <w:rsid w:val="00CA22C0"/>
    <w:rsid w:val="00CA2D28"/>
    <w:rsid w:val="00CA3073"/>
    <w:rsid w:val="00CB6856"/>
    <w:rsid w:val="00CC2EC6"/>
    <w:rsid w:val="00CD296B"/>
    <w:rsid w:val="00CD7C54"/>
    <w:rsid w:val="00CE0157"/>
    <w:rsid w:val="00CE583B"/>
    <w:rsid w:val="00CE67F2"/>
    <w:rsid w:val="00CF0909"/>
    <w:rsid w:val="00D05434"/>
    <w:rsid w:val="00D0633D"/>
    <w:rsid w:val="00D125BF"/>
    <w:rsid w:val="00D167F8"/>
    <w:rsid w:val="00D251F0"/>
    <w:rsid w:val="00D25E54"/>
    <w:rsid w:val="00D52BD5"/>
    <w:rsid w:val="00D53E3A"/>
    <w:rsid w:val="00D54559"/>
    <w:rsid w:val="00D5513E"/>
    <w:rsid w:val="00D5527C"/>
    <w:rsid w:val="00D56F1D"/>
    <w:rsid w:val="00D57202"/>
    <w:rsid w:val="00D667BD"/>
    <w:rsid w:val="00D700B0"/>
    <w:rsid w:val="00D7296F"/>
    <w:rsid w:val="00D97A49"/>
    <w:rsid w:val="00DA0674"/>
    <w:rsid w:val="00DA17FB"/>
    <w:rsid w:val="00DA3BC3"/>
    <w:rsid w:val="00DA6575"/>
    <w:rsid w:val="00DA6FEF"/>
    <w:rsid w:val="00DB4731"/>
    <w:rsid w:val="00DB74E2"/>
    <w:rsid w:val="00DF6C9E"/>
    <w:rsid w:val="00DF7584"/>
    <w:rsid w:val="00E01F10"/>
    <w:rsid w:val="00E02CD1"/>
    <w:rsid w:val="00E049BF"/>
    <w:rsid w:val="00E04FC3"/>
    <w:rsid w:val="00E1324B"/>
    <w:rsid w:val="00E24491"/>
    <w:rsid w:val="00E26DAB"/>
    <w:rsid w:val="00E332D4"/>
    <w:rsid w:val="00E34B22"/>
    <w:rsid w:val="00E46C18"/>
    <w:rsid w:val="00E46C9C"/>
    <w:rsid w:val="00E50DC9"/>
    <w:rsid w:val="00E548CC"/>
    <w:rsid w:val="00E55C35"/>
    <w:rsid w:val="00E570DF"/>
    <w:rsid w:val="00E73ADA"/>
    <w:rsid w:val="00E74520"/>
    <w:rsid w:val="00E82A36"/>
    <w:rsid w:val="00E836F4"/>
    <w:rsid w:val="00E84AC7"/>
    <w:rsid w:val="00EA146E"/>
    <w:rsid w:val="00EA4805"/>
    <w:rsid w:val="00EB0E72"/>
    <w:rsid w:val="00EC0198"/>
    <w:rsid w:val="00EC5A97"/>
    <w:rsid w:val="00EE0C2F"/>
    <w:rsid w:val="00EE51AC"/>
    <w:rsid w:val="00EE5243"/>
    <w:rsid w:val="00EE5FFE"/>
    <w:rsid w:val="00EF55ED"/>
    <w:rsid w:val="00EF79C1"/>
    <w:rsid w:val="00EF7D04"/>
    <w:rsid w:val="00F0630B"/>
    <w:rsid w:val="00F07022"/>
    <w:rsid w:val="00F07087"/>
    <w:rsid w:val="00F46FCB"/>
    <w:rsid w:val="00F47834"/>
    <w:rsid w:val="00F47890"/>
    <w:rsid w:val="00F571F0"/>
    <w:rsid w:val="00F67DA4"/>
    <w:rsid w:val="00F86373"/>
    <w:rsid w:val="00F949A1"/>
    <w:rsid w:val="00FA40BA"/>
    <w:rsid w:val="00FB0A76"/>
    <w:rsid w:val="00FB1305"/>
    <w:rsid w:val="00FB1684"/>
    <w:rsid w:val="00FD2C94"/>
    <w:rsid w:val="00FD47F9"/>
    <w:rsid w:val="00FD509E"/>
    <w:rsid w:val="00FE5752"/>
    <w:rsid w:val="00FF6729"/>
    <w:rsid w:val="215220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265</Words>
  <Characters>1515</Characters>
  <Lines>12</Lines>
  <Paragraphs>3</Paragraphs>
  <TotalTime>0</TotalTime>
  <ScaleCrop>false</ScaleCrop>
  <LinksUpToDate>false</LinksUpToDate>
  <CharactersWithSpaces>1777</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2020-09-30T07:31:30Z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